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B4B" w:rsidRP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56"/>
          <w:szCs w:val="56"/>
        </w:rPr>
      </w:pPr>
      <w:r w:rsidRPr="00AB3B4B">
        <w:rPr>
          <w:rFonts w:ascii="Arial Narrow" w:hAnsi="Arial Narrow"/>
          <w:b/>
          <w:sz w:val="56"/>
          <w:szCs w:val="56"/>
        </w:rPr>
        <w:t>MERS</w:t>
      </w:r>
      <w:r w:rsidR="00A81D66">
        <w:rPr>
          <w:rFonts w:ascii="Arial Narrow" w:hAnsi="Arial Narrow"/>
          <w:b/>
          <w:sz w:val="56"/>
          <w:szCs w:val="56"/>
        </w:rPr>
        <w:t xml:space="preserve"> </w:t>
      </w:r>
      <w:r w:rsidR="00A81D66" w:rsidRPr="003D013D">
        <w:rPr>
          <w:rFonts w:ascii="Arial Narrow" w:hAnsi="Arial Narrow" w:cs="Arial"/>
          <w:b/>
          <w:color w:val="FF0000"/>
          <w:sz w:val="32"/>
          <w:szCs w:val="32"/>
        </w:rPr>
        <w:t>(updated for FY 201</w:t>
      </w:r>
      <w:r w:rsidR="003D013D">
        <w:rPr>
          <w:rFonts w:ascii="Arial Narrow" w:hAnsi="Arial Narrow" w:cs="Arial"/>
          <w:b/>
          <w:color w:val="FF0000"/>
          <w:sz w:val="32"/>
          <w:szCs w:val="32"/>
        </w:rPr>
        <w:t>7</w:t>
      </w:r>
      <w:r w:rsidR="00A81D66" w:rsidRPr="003D013D">
        <w:rPr>
          <w:rFonts w:ascii="Arial Narrow" w:hAnsi="Arial Narrow" w:cs="Arial"/>
          <w:b/>
          <w:color w:val="FF0000"/>
          <w:sz w:val="32"/>
          <w:szCs w:val="32"/>
        </w:rPr>
        <w:t xml:space="preserve"> employer reporting)</w:t>
      </w:r>
    </w:p>
    <w:p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rsidR="00AB3B4B" w:rsidRP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r w:rsidRPr="00AB3B4B">
        <w:rPr>
          <w:rFonts w:ascii="Arial Narrow" w:hAnsi="Arial Narrow"/>
          <w:b/>
        </w:rPr>
        <w:t xml:space="preserve">Proposed Pension Note Disclosures – MERS Agent Plan Employer Units </w:t>
      </w:r>
      <w:r w:rsidRPr="00AB3B4B">
        <w:rPr>
          <w:rFonts w:ascii="Arial Narrow" w:hAnsi="Arial Narrow"/>
          <w:b/>
        </w:rPr>
        <w:tab/>
      </w:r>
      <w:r w:rsidRPr="00AB3B4B">
        <w:rPr>
          <w:rFonts w:ascii="Arial Narrow" w:hAnsi="Arial Narrow"/>
          <w:b/>
        </w:rPr>
        <w:tab/>
      </w:r>
      <w:r w:rsidRPr="00AB3B4B">
        <w:rPr>
          <w:rFonts w:ascii="Arial Narrow" w:hAnsi="Arial Narrow"/>
          <w:b/>
        </w:rPr>
        <w:tab/>
      </w:r>
      <w:r w:rsidRPr="00AB3B4B">
        <w:rPr>
          <w:rFonts w:ascii="Arial Narrow" w:hAnsi="Arial Narrow"/>
          <w:b/>
        </w:rPr>
        <w:tab/>
      </w:r>
      <w:r>
        <w:rPr>
          <w:rFonts w:ascii="Arial Narrow" w:hAnsi="Arial Narrow"/>
          <w:b/>
        </w:rPr>
        <w:t xml:space="preserve">              </w:t>
      </w: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rsidR="00AB3B4B" w:rsidRPr="009D1BDC" w:rsidRDefault="00AB3B4B" w:rsidP="00AB3B4B">
      <w:pPr>
        <w:pStyle w:val="Default"/>
        <w:rPr>
          <w:rFonts w:ascii="Arial Narrow" w:hAnsi="Arial Narrow"/>
          <w:sz w:val="22"/>
          <w:szCs w:val="22"/>
        </w:rPr>
      </w:pPr>
    </w:p>
    <w:p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in accordance with the benefit terms. Investments are reported at fair value. </w:t>
      </w:r>
    </w:p>
    <w:p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rsidR="00AB3B4B" w:rsidRPr="009D1BDC" w:rsidRDefault="00AB3B4B" w:rsidP="00AB3B4B">
      <w:pPr>
        <w:pStyle w:val="Default"/>
        <w:rPr>
          <w:rFonts w:ascii="Arial Narrow" w:hAnsi="Arial Narrow"/>
          <w:sz w:val="22"/>
          <w:szCs w:val="22"/>
        </w:rPr>
      </w:pPr>
    </w:p>
    <w:p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rsidR="003B65B3" w:rsidRDefault="003B65B3" w:rsidP="003B65B3">
      <w:pPr>
        <w:pStyle w:val="NoSpacing"/>
      </w:pPr>
    </w:p>
    <w:p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r w:rsidRPr="009D1BDC">
        <w:rPr>
          <w:rFonts w:ascii="Arial Narrow" w:hAnsi="Arial Narrow" w:cs="Arial"/>
          <w:sz w:val="22"/>
          <w:szCs w:val="22"/>
        </w:rPr>
        <w:t xml:space="preserve">provides certain retirement, disability and death benefits to plan members and beneficiaries. </w:t>
      </w:r>
      <w:r w:rsidR="00242B91" w:rsidRPr="009D1BDC">
        <w:rPr>
          <w:rFonts w:ascii="Arial Narrow" w:hAnsi="Arial Narrow" w:cs="Arial"/>
          <w:sz w:val="22"/>
          <w:szCs w:val="22"/>
        </w:rPr>
        <w:t xml:space="preserve">MERS was established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ERS issues a publicly available financial report that includes financial statements and required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8"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electing municipalities participate in MERS. Eligible employees become members at their date of employment. Anyone employed by a municipality at the time the municipality joins MERS may elect not to be covered. Elected officials may opt to be covered by MERS. Employees covered under another plan maintained by the municipality may not become members of MERS. Police officers and/or firefighters may be designated as such by the municipality, in which case the special contribution and benefit provisions described below will apply to them, or they may be designated as general employees with no special benefits. Members designated as police officers and/or firefighters are treated as belonging to a unit separate from the general employees, with separate contribution rates applicable. </w:t>
      </w:r>
    </w:p>
    <w:p w:rsidR="00FE590E" w:rsidRPr="008B2650" w:rsidRDefault="00FE590E" w:rsidP="00FE590E">
      <w:pPr>
        <w:pStyle w:val="NoSpacing"/>
        <w:jc w:val="both"/>
        <w:rPr>
          <w:rFonts w:ascii="Arial Narrow" w:hAnsi="Arial Narrow"/>
        </w:rPr>
      </w:pPr>
    </w:p>
    <w:p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purchase credit for certain periods by making an additional contribution to purchase the additional service. Special rules and limits govern the purchase of additional service and the contribution required.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Final Average Compensation (FAC): Prior to July 1, 2012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applicable FAC will be the greater of the member’s highest three year FAC as of July 1, 2012 or the five year FAC as of the retirement/termination date. Monthly benefits are based on one-twelfth of this amount. </w:t>
      </w:r>
    </w:p>
    <w:p w:rsidR="00FE590E" w:rsidRDefault="00FE590E" w:rsidP="00FE590E">
      <w:pPr>
        <w:pStyle w:val="NoSpacing"/>
        <w:jc w:val="both"/>
        <w:rPr>
          <w:rFonts w:ascii="Arial Narrow" w:hAnsi="Arial Narrow"/>
          <w:b/>
          <w:i/>
        </w:rPr>
      </w:pPr>
    </w:p>
    <w:p w:rsidR="00FE590E" w:rsidRDefault="00FE590E" w:rsidP="00FE590E">
      <w:pPr>
        <w:pStyle w:val="NoSpacing"/>
        <w:jc w:val="both"/>
        <w:rPr>
          <w:rFonts w:ascii="Arial Narrow" w:hAnsi="Arial Narrow"/>
          <w:b/>
          <w:i/>
        </w:rPr>
      </w:pPr>
      <w:r w:rsidRPr="00B57516">
        <w:rPr>
          <w:rFonts w:ascii="Arial Narrow" w:hAnsi="Arial Narrow"/>
        </w:rPr>
        <w:t>Subsequent to June 30, 2015, litigation challenging the various pension reform measures enacted in previous years by the General Assembly (2009, 2010, and 2011) was settled.  The final settlement approved by the Court on July 8, 2015 also included enactment of the pension settlement provisions by the General Assembly.  These amended benefit provisions, which have been included in the determination of the total pension liability at the June 30, 2015 measurement date</w:t>
      </w:r>
      <w:r>
        <w:rPr>
          <w:rFonts w:ascii="Arial Narrow" w:hAnsi="Arial Narrow"/>
        </w:rPr>
        <w:t xml:space="preserve"> and are reflected in the summary of benefit provisions described below.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Members with less than five years of contributory service as of June 30, 2012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Members who had at least five years of contributory service as of June 30, 2012 will be eligible for retirement at an individually determined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2012 in (a) above. The interpolation is based on service as of June 30, 2012 divided by projected service at the member’s prior Retirement Date. The minimum retirement age is 59.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2012 may choose to retire at their prior Retirement Date if they continue to work and contribute until that date. If </w:t>
      </w:r>
      <w:r>
        <w:rPr>
          <w:rFonts w:ascii="Arial Narrow" w:hAnsi="Arial Narrow"/>
        </w:rPr>
        <w:t xml:space="preserve">this </w:t>
      </w:r>
      <w:r w:rsidRPr="00EA258B">
        <w:rPr>
          <w:rFonts w:ascii="Arial Narrow" w:hAnsi="Arial Narrow"/>
        </w:rPr>
        <w:t xml:space="preserve">option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rsidR="00FE590E" w:rsidRDefault="00FE590E" w:rsidP="00FE590E">
      <w:pPr>
        <w:pStyle w:val="NoSpacing"/>
        <w:jc w:val="both"/>
        <w:rPr>
          <w:rFonts w:ascii="Arial Narrow" w:hAnsi="Arial Narrow"/>
        </w:rPr>
      </w:pPr>
    </w:p>
    <w:p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2012 were not impacted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equal to 2.00% of the member’s monthly FAC for each year of service prior to July 1, 2012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2012 in which case the benefit accrual is 2.0% per year for service after June 30, 2015. The benefit cannot exceed 75% of the member’s FAC. </w:t>
      </w:r>
      <w:r>
        <w:rPr>
          <w:rFonts w:ascii="Arial Narrow" w:hAnsi="Arial Narrow"/>
        </w:rPr>
        <w:t xml:space="preserve"> Benefits are paid monthly.</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Members who, as of June 30, 2012, had at least 10 years of contributing service, had attained age 45, and had a prior Retirement Date before age 52 may retire at age 52.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2012 may choose to retire at their prior Retirement Date if they continue to work and contribute until that date. If option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as described in this section,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designated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2012 were not impacted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2012 and 2.00% of the member’s FAC for each year of service after July 1, 2012. The benefit cannot exceed 75% of the member’s FAC.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2015 and after attaining age 57 with 30 years of service will have a benefit equal to the greater of their current benefit described in (a) and (b) above and one calculated based on a 2.25% multiplier for all years of service.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age 62 Social Security benefit. Benefits cease upon the member’s death.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designated as police officers and/or firefighters). When a municipality elects coverage, it may elect either COLA C (covering only current and future active members and excluding members already retired) or COLA B (covering current retired members as well as current and future active members).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The first interim COLA may begin January 1, 2018.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determined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c. The COLA will be limited to the first $25,000 of the member's annual pension benefit. For retirees and beneficiaries who retired on or before July 1, 2015, years in which a COLA is payable based on the every fourth year provision described in (i) above will be limited to the first $30,000. These limits will be indexed annually to increase in the same manner as COLAs, with the known values of $25,000 for 2013, $25,000 for 2014, $25,168 for 2015, $25,855 for 2016, and $26,098 for 2017. </w:t>
      </w:r>
    </w:p>
    <w:p w:rsidR="00FE590E" w:rsidRDefault="00FE590E" w:rsidP="00AB3B4B">
      <w:pPr>
        <w:pStyle w:val="Default"/>
        <w:spacing w:before="120" w:after="120"/>
        <w:jc w:val="both"/>
        <w:rPr>
          <w:rFonts w:ascii="Arial Narrow" w:hAnsi="Arial Narrow"/>
          <w:sz w:val="22"/>
          <w:szCs w:val="22"/>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2012 are preserved for the calculation of the retirement benefits.  For service accrued after July 1, 2012, retirement benefits will be calculated in accordance with section 45-21.2-2 and adjustments to benefits will be provided as set forth in 45-21-52. </w:t>
      </w:r>
      <w:r w:rsidRPr="00EA258B">
        <w:rPr>
          <w:rFonts w:ascii="Arial Narrow" w:hAnsi="Arial Narrow"/>
        </w:rPr>
        <w:t xml:space="preserve">The following summarizes those provisions: </w:t>
      </w:r>
    </w:p>
    <w:p w:rsidR="008B2650" w:rsidRDefault="008B2650" w:rsidP="008B2650">
      <w:pPr>
        <w:pStyle w:val="NoSpacing"/>
        <w:shd w:val="clear" w:color="auto" w:fill="FBD4B4" w:themeFill="accent6" w:themeFillTint="66"/>
        <w:jc w:val="both"/>
        <w:rPr>
          <w:rFonts w:ascii="Arial Narrow" w:hAnsi="Arial Narrow"/>
          <w:i/>
        </w:rPr>
      </w:pPr>
    </w:p>
    <w:p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Under these special provisions, the retirement benefit for members eligible to retire on or before June 30, 2012 and</w:t>
      </w:r>
      <w:r>
        <w:rPr>
          <w:rFonts w:ascii="Arial Narrow" w:hAnsi="Arial Narrow"/>
        </w:rPr>
        <w:t xml:space="preserve"> having </w:t>
      </w:r>
      <w:r w:rsidRPr="00EA258B">
        <w:rPr>
          <w:rFonts w:ascii="Arial Narrow" w:hAnsi="Arial Narrow"/>
        </w:rPr>
        <w:t xml:space="preserve">with 20 or more years of service is improved. The new formula is 60.00% x Final Average Compensation (FAC), plus 1.50% x FAC x Years of Service in Excess of 20, with a maximum benefit equal to 75% of FAC. In addition to this benefit change, the member contribution rate increased from 9.00% to 10.20%.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annuitant, and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The member contribution rate between July 1, 1985 and June 30, 2012 was 8.00%, plus 1.00% for the adoption of the optional COLA, for a total of 9.00%.   For service after July 1, 2012, the member contribution rate is 9% plus 1.00% for the adoption of the optional COLA, for a total of 10.00%.</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9.00%.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Cranston fire department hired after July 1, 1995 or with less than 5 years of service at that date - Rhode Island General Law § 45-21.2-5 (7) and § 45-21.2-14</w:t>
      </w:r>
      <w:r>
        <w:rPr>
          <w:rFonts w:ascii="Arial Narrow" w:hAnsi="Arial Narrow"/>
          <w:i/>
        </w:rPr>
        <w:t xml:space="preserve"> 9 (e)</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1995 or with less than 5 years of service at that date - Rhode Island General Law §§ 45-21.2-5 (8) and § 45-21.2-14 </w:t>
      </w:r>
      <w:r>
        <w:rPr>
          <w:rFonts w:ascii="Arial Narrow" w:hAnsi="Arial Narrow"/>
          <w:i/>
        </w:rPr>
        <w:t>(f)</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attaining 22 years of service. The retirement benefit for a member with 22 or more years of service was improved to 50.00% x Final Average Compensation (FAC), plus 2.2727% x FAC x Years of Service in Excess of 22, with a maximum benefit equal to 75% of FAC. </w:t>
      </w:r>
    </w:p>
    <w:p w:rsidR="008B2650" w:rsidRDefault="008B2650" w:rsidP="008B2650">
      <w:pPr>
        <w:ind w:hanging="144"/>
        <w:jc w:val="both"/>
        <w:rPr>
          <w:rFonts w:ascii="Arial Narrow" w:hAnsi="Arial Narrow"/>
          <w:b/>
          <w:i/>
        </w:rPr>
      </w:pPr>
    </w:p>
    <w:p w:rsidR="00FE590E" w:rsidRDefault="00FE590E" w:rsidP="00AB3B4B">
      <w:pPr>
        <w:pStyle w:val="Default"/>
        <w:spacing w:before="120" w:after="120"/>
        <w:jc w:val="both"/>
        <w:rPr>
          <w:rFonts w:ascii="Arial Narrow" w:hAnsi="Arial Narrow"/>
          <w:sz w:val="22"/>
          <w:szCs w:val="22"/>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t>Employees covered by benefit terms</w:t>
      </w:r>
    </w:p>
    <w:p w:rsidR="00FE590E" w:rsidRDefault="00FE590E" w:rsidP="00E02E49">
      <w:pPr>
        <w:autoSpaceDE w:val="0"/>
        <w:autoSpaceDN w:val="0"/>
        <w:adjustRightInd w:val="0"/>
        <w:spacing w:after="0" w:line="240" w:lineRule="auto"/>
        <w:jc w:val="both"/>
        <w:rPr>
          <w:rFonts w:ascii="Arial Narrow" w:hAnsi="Arial Narrow" w:cs="Arial"/>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t>At the June 30, 201</w:t>
      </w:r>
      <w:r w:rsidR="003D013D">
        <w:rPr>
          <w:rFonts w:ascii="Arial Narrow" w:hAnsi="Arial Narrow" w:cs="Arial"/>
        </w:rPr>
        <w:t>5</w:t>
      </w:r>
      <w:r w:rsidRPr="009D1BDC">
        <w:rPr>
          <w:rFonts w:ascii="Arial Narrow" w:hAnsi="Arial Narrow" w:cs="Arial"/>
        </w:rPr>
        <w:t xml:space="preserve"> valuation date, the following employees were covered by the benefit terms:</w:t>
      </w:r>
    </w:p>
    <w:p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Retirees and Beneficiaries</w:t>
            </w:r>
          </w:p>
        </w:tc>
        <w:tc>
          <w:tcPr>
            <w:tcW w:w="3548" w:type="dxa"/>
            <w:shd w:val="clear" w:color="auto" w:fill="FFFF00"/>
          </w:tcPr>
          <w:p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bl>
    <w:p w:rsidR="00803299" w:rsidRDefault="00803299" w:rsidP="00E02E49">
      <w:pPr>
        <w:autoSpaceDE w:val="0"/>
        <w:autoSpaceDN w:val="0"/>
        <w:adjustRightInd w:val="0"/>
        <w:spacing w:after="0" w:line="240" w:lineRule="auto"/>
        <w:jc w:val="both"/>
        <w:rPr>
          <w:rFonts w:ascii="Arial Narrow" w:hAnsi="Arial Narrow" w:cs="Arial"/>
          <w:b/>
        </w:rPr>
      </w:pPr>
    </w:p>
    <w:p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established under Rhode Island General Law Chapter 45-21.  General employees </w:t>
      </w:r>
      <w:r w:rsidR="00534354">
        <w:rPr>
          <w:rFonts w:ascii="Arial Narrow" w:hAnsi="Arial Narrow"/>
        </w:rPr>
        <w:t xml:space="preserve">with less than 20 years of service as of June 30, 2012 </w:t>
      </w:r>
      <w:r w:rsidR="0022196E" w:rsidRPr="005B5F87">
        <w:rPr>
          <w:rFonts w:ascii="Arial Narrow" w:hAnsi="Arial Narrow"/>
        </w:rPr>
        <w:t xml:space="preserve">are required to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2012 are required to contribute 8.25%.</w:t>
      </w:r>
      <w:r w:rsidR="0022196E" w:rsidRPr="005B5F87">
        <w:rPr>
          <w:rFonts w:ascii="Arial Narrow" w:hAnsi="Arial Narrow"/>
        </w:rPr>
        <w:t xml:space="preserve">  Public safety employees are required to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determined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r w:rsidR="0022196E" w:rsidRPr="005B5F87">
        <w:rPr>
          <w:rFonts w:ascii="Arial Narrow" w:hAnsi="Arial Narrow"/>
          <w:highlight w:val="yellow"/>
        </w:rPr>
        <w:t>X,XXX,XXX</w:t>
      </w:r>
      <w:r w:rsidR="0022196E" w:rsidRPr="005B5F87">
        <w:rPr>
          <w:rFonts w:ascii="Arial Narrow" w:hAnsi="Arial Narrow"/>
        </w:rPr>
        <w:t xml:space="preserve"> in the year ended June 30, 201</w:t>
      </w:r>
      <w:r w:rsidR="002437E7">
        <w:rPr>
          <w:rFonts w:ascii="Arial Narrow" w:hAnsi="Arial Narrow"/>
        </w:rPr>
        <w:t>7</w:t>
      </w:r>
      <w:r w:rsidR="00505892">
        <w:rPr>
          <w:rFonts w:ascii="Arial Narrow" w:hAnsi="Arial Narrow"/>
        </w:rPr>
        <w:t xml:space="preserve"> 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rsidR="0022196E" w:rsidRPr="009D1BDC" w:rsidRDefault="0022196E" w:rsidP="00E02E49">
      <w:pPr>
        <w:autoSpaceDE w:val="0"/>
        <w:autoSpaceDN w:val="0"/>
        <w:adjustRightInd w:val="0"/>
        <w:spacing w:after="0" w:line="240" w:lineRule="auto"/>
        <w:jc w:val="both"/>
        <w:rPr>
          <w:rFonts w:ascii="Arial Narrow" w:hAnsi="Arial Narrow" w:cs="Arial"/>
        </w:rPr>
      </w:pPr>
    </w:p>
    <w:p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he total pension liability was determined by actuarial valuations performed as of June 30, 201</w:t>
      </w:r>
      <w:r w:rsidR="003D013D">
        <w:rPr>
          <w:rFonts w:ascii="Arial Narrow" w:hAnsi="Arial Narrow" w:cs="Arial"/>
        </w:rPr>
        <w:t>5</w:t>
      </w:r>
      <w:r w:rsidR="002437E7">
        <w:rPr>
          <w:rFonts w:ascii="Arial Narrow" w:hAnsi="Arial Narrow" w:cs="Arial"/>
        </w:rPr>
        <w:t xml:space="preserve"> </w:t>
      </w:r>
      <w:r w:rsidR="00845A9F" w:rsidRPr="009D1BDC">
        <w:rPr>
          <w:rFonts w:ascii="Arial Narrow" w:hAnsi="Arial Narrow" w:cs="Arial"/>
        </w:rPr>
        <w:t>and rolled forward to June 30, 201</w:t>
      </w:r>
      <w:r w:rsidR="003D013D">
        <w:rPr>
          <w:rFonts w:ascii="Arial Narrow" w:hAnsi="Arial Narrow" w:cs="Arial"/>
        </w:rPr>
        <w:t>6</w:t>
      </w:r>
      <w:r w:rsidR="00845A9F" w:rsidRPr="009D1BDC">
        <w:rPr>
          <w:rFonts w:ascii="Arial Narrow" w:hAnsi="Arial Narrow" w:cs="Arial"/>
        </w:rPr>
        <w:t>, using the following actuarial assumptions, applied to all periods included in the measurement.</w:t>
      </w:r>
    </w:p>
    <w:p w:rsidR="007A0EC1" w:rsidRDefault="007A0EC1" w:rsidP="007A0EC1">
      <w:pPr>
        <w:pStyle w:val="NoSpacing"/>
      </w:pPr>
    </w:p>
    <w:p w:rsidR="00880ECA" w:rsidRDefault="00880ECA" w:rsidP="00880ECA">
      <w:pPr>
        <w:pStyle w:val="Default"/>
      </w:pPr>
    </w:p>
    <w:p w:rsidR="008B2650" w:rsidRDefault="008B2650" w:rsidP="00880ECA">
      <w:pPr>
        <w:pStyle w:val="Default"/>
      </w:pPr>
    </w:p>
    <w:p w:rsidR="008B2650" w:rsidRDefault="008B2650" w:rsidP="00880ECA">
      <w:pPr>
        <w:pStyle w:val="Default"/>
      </w:pPr>
    </w:p>
    <w:p w:rsidR="008B2650" w:rsidRDefault="008B2650" w:rsidP="00880ECA">
      <w:pPr>
        <w:pStyle w:val="Default"/>
      </w:pPr>
    </w:p>
    <w:p w:rsidR="008B2650" w:rsidRDefault="008B2650" w:rsidP="00880ECA">
      <w:pPr>
        <w:pStyle w:val="Default"/>
      </w:pPr>
    </w:p>
    <w:p w:rsidR="008B2650" w:rsidRDefault="008B2650"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8B2650" w:rsidRDefault="008B2650" w:rsidP="00880ECA">
      <w:pPr>
        <w:pStyle w:val="Default"/>
      </w:pPr>
    </w:p>
    <w:p w:rsidR="008B2650" w:rsidRDefault="008B2650" w:rsidP="00880ECA">
      <w:pPr>
        <w:pStyle w:val="Default"/>
      </w:pPr>
    </w:p>
    <w:tbl>
      <w:tblPr>
        <w:tblStyle w:val="TableGrid"/>
        <w:tblW w:w="0" w:type="auto"/>
        <w:tblLook w:val="04A0" w:firstRow="1" w:lastRow="0" w:firstColumn="1" w:lastColumn="0" w:noHBand="0" w:noVBand="1"/>
      </w:tblPr>
      <w:tblGrid>
        <w:gridCol w:w="2538"/>
        <w:gridCol w:w="7038"/>
      </w:tblGrid>
      <w:tr w:rsidR="006C7C83" w:rsidRPr="009D1BDC" w:rsidTr="00E02E49">
        <w:tc>
          <w:tcPr>
            <w:tcW w:w="9576" w:type="dxa"/>
            <w:gridSpan w:val="2"/>
          </w:tcPr>
          <w:p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t>Summary of Actuarial Assumptions Used in the Valuations to determine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June 30, 201</w:t>
            </w:r>
            <w:r w:rsidR="003D013D">
              <w:rPr>
                <w:rFonts w:ascii="Arial Narrow" w:hAnsi="Arial Narrow"/>
                <w:b/>
                <w:sz w:val="22"/>
                <w:szCs w:val="22"/>
              </w:rPr>
              <w:t>6</w:t>
            </w:r>
            <w:r w:rsidR="003B65B3">
              <w:rPr>
                <w:rFonts w:ascii="Arial Narrow" w:hAnsi="Arial Narrow"/>
                <w:b/>
                <w:sz w:val="22"/>
                <w:szCs w:val="22"/>
              </w:rPr>
              <w:t xml:space="preserve"> measurement date (June 30, 201</w:t>
            </w:r>
            <w:r w:rsidR="003D013D">
              <w:rPr>
                <w:rFonts w:ascii="Arial Narrow" w:hAnsi="Arial Narrow"/>
                <w:b/>
                <w:sz w:val="22"/>
                <w:szCs w:val="22"/>
              </w:rPr>
              <w:t>5</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201</w:t>
            </w:r>
            <w:r w:rsidR="003D013D">
              <w:rPr>
                <w:rFonts w:ascii="Arial Narrow" w:hAnsi="Arial Narrow"/>
                <w:b/>
                <w:sz w:val="22"/>
                <w:szCs w:val="22"/>
              </w:rPr>
              <w:t>6</w:t>
            </w:r>
            <w:r w:rsidR="003B65B3">
              <w:rPr>
                <w:rFonts w:ascii="Arial Narrow" w:hAnsi="Arial Narrow"/>
                <w:b/>
                <w:sz w:val="22"/>
                <w:szCs w:val="22"/>
              </w:rPr>
              <w:t>)</w:t>
            </w:r>
          </w:p>
          <w:p w:rsidR="00E02E49" w:rsidRPr="009D1BDC" w:rsidRDefault="00E02E49" w:rsidP="003B65B3">
            <w:pPr>
              <w:pStyle w:val="Default"/>
              <w:jc w:val="center"/>
              <w:rPr>
                <w:rFonts w:ascii="Arial Narrow" w:hAnsi="Arial Narrow"/>
                <w:b/>
                <w:sz w:val="22"/>
                <w:szCs w:val="22"/>
              </w:rPr>
            </w:pP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methodology is used. </w:t>
            </w: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rsidTr="00335527">
        <w:trPr>
          <w:trHeight w:val="404"/>
        </w:trPr>
        <w:tc>
          <w:tcPr>
            <w:tcW w:w="2538" w:type="dxa"/>
          </w:tcPr>
          <w:p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rsidTr="00906EAA">
        <w:tc>
          <w:tcPr>
            <w:tcW w:w="2538" w:type="dxa"/>
          </w:tcPr>
          <w:p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7.50%</w:t>
            </w:r>
          </w:p>
        </w:tc>
      </w:tr>
      <w:tr w:rsidR="00CE10E5" w:rsidRPr="00906EAA" w:rsidTr="00906EAA">
        <w:tc>
          <w:tcPr>
            <w:tcW w:w="2538" w:type="dxa"/>
          </w:tcPr>
          <w:p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3.50% to 7.50%</w:t>
            </w:r>
            <w:r w:rsidR="00335527">
              <w:rPr>
                <w:rFonts w:ascii="Arial Narrow" w:hAnsi="Arial Narrow" w:cs="Arial"/>
                <w:sz w:val="20"/>
                <w:szCs w:val="20"/>
              </w:rPr>
              <w:t xml:space="preserve"> ;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rsidTr="00906EAA">
        <w:tc>
          <w:tcPr>
            <w:tcW w:w="2538" w:type="dxa"/>
          </w:tcPr>
          <w:p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2.75%</w:t>
            </w:r>
          </w:p>
        </w:tc>
      </w:tr>
      <w:tr w:rsidR="00431067" w:rsidRPr="00906EAA" w:rsidTr="00335527">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rsidR="00431067" w:rsidRPr="00335527" w:rsidRDefault="00431067" w:rsidP="00335527">
            <w:pPr>
              <w:pStyle w:val="NoSpacing"/>
              <w:numPr>
                <w:ilvl w:val="0"/>
                <w:numId w:val="5"/>
              </w:numPr>
              <w:ind w:left="162" w:hanging="162"/>
              <w:rPr>
                <w:rFonts w:ascii="Arial Narrow" w:hAnsi="Arial Narrow"/>
                <w:sz w:val="20"/>
                <w:szCs w:val="20"/>
              </w:rPr>
            </w:pPr>
            <w:r w:rsidRPr="00335527">
              <w:rPr>
                <w:rFonts w:ascii="Arial Narrow" w:hAnsi="Arial Narrow"/>
                <w:sz w:val="20"/>
                <w:szCs w:val="20"/>
              </w:rPr>
              <w:t xml:space="preserve">Male Employees, MERS General and MERS P&amp;F: 115% of RP-2000 Combined Healthy </w:t>
            </w:r>
            <w:r w:rsidR="007B2952" w:rsidRPr="00335527">
              <w:rPr>
                <w:rFonts w:ascii="Arial Narrow" w:hAnsi="Arial Narrow"/>
                <w:sz w:val="20"/>
                <w:szCs w:val="20"/>
              </w:rPr>
              <w:t>for</w:t>
            </w:r>
            <w:r w:rsidR="007B2952">
              <w:rPr>
                <w:rFonts w:ascii="Arial Narrow" w:hAnsi="Arial Narrow"/>
                <w:sz w:val="20"/>
                <w:szCs w:val="20"/>
              </w:rPr>
              <w:t xml:space="preserve"> </w:t>
            </w:r>
            <w:r w:rsidR="007B2952" w:rsidRPr="00335527">
              <w:rPr>
                <w:rFonts w:ascii="Arial Narrow" w:hAnsi="Arial Narrow"/>
                <w:sz w:val="20"/>
                <w:szCs w:val="20"/>
              </w:rPr>
              <w:t>Males</w:t>
            </w:r>
            <w:r w:rsidRPr="00335527">
              <w:rPr>
                <w:rFonts w:ascii="Arial Narrow" w:hAnsi="Arial Narrow"/>
                <w:sz w:val="20"/>
                <w:szCs w:val="20"/>
              </w:rPr>
              <w:t xml:space="preserve"> with White Collar adjustments, projected with Scale AA from 2000.</w:t>
            </w:r>
          </w:p>
          <w:p w:rsidR="00335527" w:rsidRDefault="00335527" w:rsidP="00335527">
            <w:pPr>
              <w:pStyle w:val="NoSpacing"/>
              <w:ind w:left="162" w:hanging="162"/>
              <w:rPr>
                <w:rFonts w:ascii="Arial Narrow" w:hAnsi="Arial Narrow"/>
                <w:sz w:val="20"/>
                <w:szCs w:val="20"/>
              </w:rPr>
            </w:pPr>
          </w:p>
          <w:p w:rsidR="00431067" w:rsidRPr="00335527" w:rsidRDefault="00431067" w:rsidP="00335527">
            <w:pPr>
              <w:pStyle w:val="NoSpacing"/>
              <w:numPr>
                <w:ilvl w:val="0"/>
                <w:numId w:val="5"/>
              </w:numPr>
              <w:ind w:left="162" w:hanging="162"/>
              <w:rPr>
                <w:rFonts w:ascii="Arial Narrow" w:hAnsi="Arial Narrow"/>
                <w:sz w:val="20"/>
                <w:szCs w:val="20"/>
              </w:rPr>
            </w:pPr>
            <w:r w:rsidRPr="00335527">
              <w:rPr>
                <w:rFonts w:ascii="Arial Narrow" w:hAnsi="Arial Narrow"/>
                <w:sz w:val="20"/>
                <w:szCs w:val="20"/>
              </w:rPr>
              <w:t>Female Employees, MERS General and MERS P&amp;F: 95% of RP-2000 Combined Healthy for Females with White Collar adjustments, projected with Scale AA from 2000.</w:t>
            </w:r>
          </w:p>
        </w:tc>
      </w:tr>
      <w:tr w:rsidR="00431067" w:rsidRPr="00906EAA" w:rsidTr="00906EAA">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rsidR="00431067" w:rsidRPr="00335527" w:rsidRDefault="00E02E49" w:rsidP="000C74CC">
            <w:pPr>
              <w:spacing w:before="120"/>
              <w:ind w:left="138"/>
              <w:jc w:val="both"/>
              <w:rPr>
                <w:rFonts w:ascii="Arial Narrow" w:hAnsi="Arial Narrow"/>
                <w:sz w:val="20"/>
                <w:szCs w:val="20"/>
              </w:rPr>
            </w:pPr>
            <w:r w:rsidRPr="00335527">
              <w:rPr>
                <w:rFonts w:ascii="Arial Narrow" w:hAnsi="Arial Narrow"/>
                <w:sz w:val="20"/>
                <w:szCs w:val="20"/>
              </w:rPr>
              <w:t>A</w:t>
            </w:r>
            <w:r w:rsidR="00431067" w:rsidRPr="00335527">
              <w:rPr>
                <w:rFonts w:ascii="Arial Narrow" w:hAnsi="Arial Narrow"/>
                <w:sz w:val="20"/>
                <w:szCs w:val="20"/>
              </w:rPr>
              <w:t xml:space="preserve"> 2% COLA is assumed after January 1, 2014. </w:t>
            </w:r>
          </w:p>
        </w:tc>
      </w:tr>
    </w:tbl>
    <w:p w:rsidR="00534354" w:rsidRDefault="00534354" w:rsidP="00DB223B">
      <w:pPr>
        <w:tabs>
          <w:tab w:val="left" w:pos="720"/>
        </w:tabs>
        <w:spacing w:after="0" w:line="240" w:lineRule="auto"/>
        <w:jc w:val="both"/>
        <w:rPr>
          <w:rFonts w:ascii="Arial Narrow" w:eastAsia="Times New Roman" w:hAnsi="Arial Narrow" w:cs="Arial"/>
        </w:rPr>
      </w:pPr>
    </w:p>
    <w:p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3D013D">
        <w:rPr>
          <w:rFonts w:ascii="Arial Narrow" w:eastAsia="Times New Roman" w:hAnsi="Arial Narrow" w:cs="Arial"/>
        </w:rPr>
        <w:t>5</w:t>
      </w:r>
      <w:r w:rsidRPr="00F21195">
        <w:rPr>
          <w:rFonts w:ascii="Arial Narrow" w:eastAsia="Times New Roman" w:hAnsi="Arial Narrow" w:cs="Arial"/>
        </w:rPr>
        <w:t xml:space="preserve"> valuation rolled forward to June 30, 201</w:t>
      </w:r>
      <w:r w:rsidR="003D013D">
        <w:rPr>
          <w:rFonts w:ascii="Arial Narrow" w:eastAsia="Times New Roman" w:hAnsi="Arial Narrow" w:cs="Arial"/>
        </w:rPr>
        <w:t>6</w:t>
      </w:r>
      <w:r w:rsidRPr="00F21195">
        <w:rPr>
          <w:rFonts w:ascii="Arial Narrow" w:eastAsia="Times New Roman" w:hAnsi="Arial Narrow" w:cs="Arial"/>
        </w:rPr>
        <w:t xml:space="preserve"> and the calculation of the total pension liability at June 30, 201</w:t>
      </w:r>
      <w:r w:rsidR="003D013D">
        <w:rPr>
          <w:rFonts w:ascii="Arial Narrow" w:eastAsia="Times New Roman" w:hAnsi="Arial Narrow" w:cs="Arial"/>
        </w:rPr>
        <w:t xml:space="preserve">6 </w:t>
      </w:r>
      <w:r w:rsidRPr="00F21195">
        <w:rPr>
          <w:rFonts w:ascii="Arial Narrow" w:eastAsia="Times New Roman" w:hAnsi="Arial Narrow" w:cs="Arial"/>
        </w:rPr>
        <w:t>were consistent with the results of an actuarial experience study performed as of June 30, 2013.</w:t>
      </w:r>
    </w:p>
    <w:p w:rsidR="005372CE" w:rsidRDefault="005372CE" w:rsidP="005372CE">
      <w:pPr>
        <w:tabs>
          <w:tab w:val="left" w:pos="720"/>
        </w:tabs>
        <w:spacing w:after="0" w:line="240" w:lineRule="auto"/>
        <w:jc w:val="both"/>
        <w:rPr>
          <w:rFonts w:ascii="Arial Narrow" w:eastAsia="Times New Roman" w:hAnsi="Arial Narrow" w:cs="Arial"/>
        </w:rPr>
      </w:pPr>
    </w:p>
    <w:p w:rsidR="005372CE" w:rsidRDefault="005372CE" w:rsidP="005372CE">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35 sources.  The June 30, 2016 expected arithmetic returns over the long-term (20 years) by asset class are summarized in the following table:</w:t>
      </w:r>
    </w:p>
    <w:p w:rsidR="005372CE" w:rsidRDefault="005372CE" w:rsidP="005372CE">
      <w:pPr>
        <w:tabs>
          <w:tab w:val="left" w:pos="720"/>
        </w:tabs>
        <w:spacing w:after="0" w:line="240" w:lineRule="auto"/>
        <w:jc w:val="both"/>
        <w:rPr>
          <w:rFonts w:ascii="Arial Narrow" w:eastAsia="Times New Roman" w:hAnsi="Arial Narrow" w:cs="Arial"/>
        </w:rPr>
      </w:pPr>
    </w:p>
    <w:p w:rsidR="00DB223B" w:rsidRDefault="005372CE" w:rsidP="005372CE">
      <w:pPr>
        <w:pStyle w:val="Default"/>
        <w:jc w:val="center"/>
      </w:pPr>
      <w:r w:rsidRPr="00186CC1">
        <w:rPr>
          <w:noProof/>
        </w:rPr>
        <w:drawing>
          <wp:inline distT="0" distB="0" distL="0" distR="0" wp14:anchorId="51C3D4D4" wp14:editId="60C8A567">
            <wp:extent cx="3840815" cy="3287612"/>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7" cy="3302003"/>
                    </a:xfrm>
                    <a:prstGeom prst="rect">
                      <a:avLst/>
                    </a:prstGeom>
                    <a:noFill/>
                    <a:ln>
                      <a:noFill/>
                    </a:ln>
                  </pic:spPr>
                </pic:pic>
              </a:graphicData>
            </a:graphic>
          </wp:inline>
        </w:drawing>
      </w:r>
    </w:p>
    <w:p w:rsidR="00534354" w:rsidRPr="00417F0E" w:rsidRDefault="00534354" w:rsidP="00534354">
      <w:pPr>
        <w:tabs>
          <w:tab w:val="left" w:pos="720"/>
        </w:tabs>
        <w:spacing w:after="0" w:line="240" w:lineRule="auto"/>
        <w:jc w:val="center"/>
        <w:rPr>
          <w:rFonts w:ascii="Arial Narrow" w:eastAsia="Times New Roman" w:hAnsi="Arial Narrow" w:cs="Arial"/>
        </w:rPr>
      </w:pPr>
    </w:p>
    <w:p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310995" w:rsidRDefault="00310995" w:rsidP="00AB3B4B">
      <w:pPr>
        <w:pStyle w:val="CM6"/>
        <w:jc w:val="both"/>
        <w:rPr>
          <w:rFonts w:ascii="Arial Narrow" w:hAnsi="Arial Narrow" w:cs="Arial"/>
          <w:b/>
          <w:sz w:val="22"/>
          <w:szCs w:val="22"/>
        </w:rPr>
      </w:pPr>
    </w:p>
    <w:p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7.5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335527" w:rsidRPr="00335527" w:rsidRDefault="00335527" w:rsidP="00335527">
      <w:pPr>
        <w:pStyle w:val="Default"/>
      </w:pPr>
    </w:p>
    <w:p w:rsidR="00534354" w:rsidRPr="00534354" w:rsidRDefault="00534354" w:rsidP="00534354">
      <w:pPr>
        <w:pStyle w:val="Default"/>
      </w:pPr>
    </w:p>
    <w:tbl>
      <w:tblPr>
        <w:tblStyle w:val="TableGrid"/>
        <w:tblW w:w="9576" w:type="dxa"/>
        <w:tblLook w:val="04A0" w:firstRow="1" w:lastRow="0" w:firstColumn="1" w:lastColumn="0" w:noHBand="0" w:noVBand="1"/>
      </w:tblPr>
      <w:tblGrid>
        <w:gridCol w:w="4338"/>
        <w:gridCol w:w="1980"/>
        <w:gridCol w:w="1800"/>
        <w:gridCol w:w="1458"/>
      </w:tblGrid>
      <w:tr w:rsidR="00906EAA" w:rsidRPr="00906EAA" w:rsidTr="00906EAA">
        <w:tc>
          <w:tcPr>
            <w:tcW w:w="9576" w:type="dxa"/>
            <w:gridSpan w:val="4"/>
          </w:tcPr>
          <w:p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t>Changes in the Net Pension Liability (Asset)</w:t>
            </w:r>
          </w:p>
        </w:tc>
      </w:tr>
      <w:tr w:rsidR="00906EAA" w:rsidTr="00906EAA">
        <w:tc>
          <w:tcPr>
            <w:tcW w:w="4338" w:type="dxa"/>
          </w:tcPr>
          <w:p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rsidTr="00906EAA">
        <w:tc>
          <w:tcPr>
            <w:tcW w:w="4338" w:type="dxa"/>
          </w:tcPr>
          <w:p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rsidTr="00421618">
        <w:tc>
          <w:tcPr>
            <w:tcW w:w="4338" w:type="dxa"/>
          </w:tcPr>
          <w:p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201</w:t>
            </w:r>
            <w:r w:rsidR="003D013D">
              <w:rPr>
                <w:rFonts w:ascii="Arial Narrow" w:hAnsi="Arial Narrow" w:cs="Arial"/>
                <w:color w:val="auto"/>
                <w:sz w:val="20"/>
                <w:szCs w:val="20"/>
              </w:rPr>
              <w:t>5</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201</w:t>
            </w:r>
            <w:r w:rsidR="003D013D">
              <w:rPr>
                <w:rFonts w:ascii="Arial Narrow" w:hAnsi="Arial Narrow" w:cs="Arial"/>
                <w:color w:val="auto"/>
                <w:sz w:val="20"/>
                <w:szCs w:val="20"/>
              </w:rPr>
              <w:t>6</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bl>
    <w:p w:rsidR="00352BEA" w:rsidRDefault="00352BEA" w:rsidP="00AB3B4B">
      <w:pPr>
        <w:pStyle w:val="Default"/>
        <w:jc w:val="both"/>
        <w:rPr>
          <w:rFonts w:ascii="Arial Narrow" w:hAnsi="Arial Narrow" w:cs="Arial"/>
          <w:color w:val="auto"/>
          <w:sz w:val="22"/>
          <w:szCs w:val="22"/>
        </w:rPr>
      </w:pPr>
    </w:p>
    <w:p w:rsidR="00352BEA" w:rsidRDefault="00352BEA" w:rsidP="00AB3B4B">
      <w:pPr>
        <w:pStyle w:val="Default"/>
        <w:jc w:val="both"/>
        <w:rPr>
          <w:rFonts w:ascii="Arial Narrow" w:hAnsi="Arial Narrow" w:cs="Arial"/>
          <w:color w:val="auto"/>
          <w:sz w:val="22"/>
          <w:szCs w:val="22"/>
        </w:rPr>
      </w:pPr>
    </w:p>
    <w:p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 xml:space="preserve">The following presents the net pension liability (asset) of the employers calculated using the discount rate of 7.5 percent, as well as what the employers’ net pension liability (asset) would be if it were calculated using a discount rate that is 1-percentage-point lower or 1-percentage-point higher than the current rate. </w:t>
      </w:r>
    </w:p>
    <w:p w:rsidR="00804336" w:rsidRDefault="00804336" w:rsidP="00804336">
      <w:pPr>
        <w:pStyle w:val="Default"/>
      </w:pPr>
    </w:p>
    <w:tbl>
      <w:tblPr>
        <w:tblStyle w:val="TableGrid"/>
        <w:tblW w:w="0" w:type="auto"/>
        <w:jc w:val="center"/>
        <w:tblLook w:val="04A0" w:firstRow="1" w:lastRow="0" w:firstColumn="1" w:lastColumn="0" w:noHBand="0" w:noVBand="1"/>
      </w:tblPr>
      <w:tblGrid>
        <w:gridCol w:w="2160"/>
        <w:gridCol w:w="2316"/>
        <w:gridCol w:w="2094"/>
      </w:tblGrid>
      <w:tr w:rsidR="00804336" w:rsidTr="005D209E">
        <w:trPr>
          <w:jc w:val="center"/>
        </w:trPr>
        <w:tc>
          <w:tcPr>
            <w:tcW w:w="2160"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804336" w:rsidTr="005D209E">
        <w:trPr>
          <w:jc w:val="center"/>
        </w:trPr>
        <w:tc>
          <w:tcPr>
            <w:tcW w:w="2160" w:type="dxa"/>
            <w:shd w:val="clear" w:color="auto" w:fill="auto"/>
          </w:tcPr>
          <w:p w:rsidR="00804336" w:rsidRDefault="00804336" w:rsidP="005D209E">
            <w:pPr>
              <w:jc w:val="center"/>
              <w:rPr>
                <w:rFonts w:ascii="Arial Narrow" w:eastAsia="Times New Roman" w:hAnsi="Arial Narrow" w:cs="Arial"/>
                <w:b/>
                <w:sz w:val="20"/>
                <w:szCs w:val="20"/>
              </w:rPr>
            </w:pPr>
          </w:p>
        </w:tc>
        <w:tc>
          <w:tcPr>
            <w:tcW w:w="2316" w:type="dxa"/>
            <w:shd w:val="clear" w:color="auto" w:fill="auto"/>
          </w:tcPr>
          <w:p w:rsidR="00804336" w:rsidRDefault="00804336" w:rsidP="005D209E">
            <w:pPr>
              <w:jc w:val="center"/>
              <w:rPr>
                <w:rFonts w:ascii="Arial Narrow" w:eastAsia="Times New Roman" w:hAnsi="Arial Narrow" w:cs="Arial"/>
                <w:b/>
                <w:sz w:val="20"/>
                <w:szCs w:val="20"/>
              </w:rPr>
            </w:pPr>
          </w:p>
        </w:tc>
        <w:tc>
          <w:tcPr>
            <w:tcW w:w="2094" w:type="dxa"/>
            <w:shd w:val="clear" w:color="auto" w:fill="auto"/>
          </w:tcPr>
          <w:p w:rsidR="00804336" w:rsidRDefault="00804336" w:rsidP="005D209E">
            <w:pPr>
              <w:jc w:val="center"/>
              <w:rPr>
                <w:rFonts w:ascii="Arial Narrow" w:eastAsia="Times New Roman" w:hAnsi="Arial Narrow" w:cs="Arial"/>
                <w:b/>
                <w:sz w:val="20"/>
                <w:szCs w:val="20"/>
              </w:rPr>
            </w:pPr>
          </w:p>
        </w:tc>
      </w:tr>
    </w:tbl>
    <w:p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505892" w:rsidRDefault="00505892" w:rsidP="00AA5039">
      <w:pPr>
        <w:tabs>
          <w:tab w:val="left" w:pos="720"/>
        </w:tabs>
        <w:spacing w:after="0" w:line="240" w:lineRule="auto"/>
        <w:jc w:val="both"/>
        <w:rPr>
          <w:rFonts w:ascii="Arial Narrow" w:eastAsia="Times New Roman" w:hAnsi="Arial Narrow" w:cs="Arial"/>
          <w:b/>
        </w:rPr>
      </w:pPr>
    </w:p>
    <w:p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AA5039" w:rsidRDefault="00AA5039" w:rsidP="00AB3B4B">
      <w:pPr>
        <w:pStyle w:val="Default"/>
        <w:jc w:val="both"/>
        <w:rPr>
          <w:rFonts w:ascii="Arial Narrow" w:hAnsi="Arial Narrow" w:cs="Arial"/>
          <w:b/>
          <w:color w:val="auto"/>
          <w:sz w:val="22"/>
          <w:szCs w:val="22"/>
        </w:rPr>
      </w:pPr>
    </w:p>
    <w:p w:rsidR="00AA5039" w:rsidRDefault="00AA5039" w:rsidP="00AB3B4B">
      <w:pPr>
        <w:pStyle w:val="Default"/>
        <w:jc w:val="both"/>
        <w:rPr>
          <w:rFonts w:ascii="Arial Narrow" w:hAnsi="Arial Narrow" w:cs="Arial"/>
          <w:b/>
          <w:color w:val="auto"/>
          <w:sz w:val="22"/>
          <w:szCs w:val="22"/>
        </w:rPr>
      </w:pPr>
    </w:p>
    <w:p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rsidR="001F4C86" w:rsidRPr="009D1BDC" w:rsidRDefault="001F4C86" w:rsidP="00AB3B4B">
      <w:pPr>
        <w:pStyle w:val="Default"/>
        <w:jc w:val="both"/>
        <w:rPr>
          <w:rFonts w:ascii="Arial Narrow" w:hAnsi="Arial Narrow" w:cs="Arial"/>
          <w:b/>
          <w:color w:val="auto"/>
          <w:sz w:val="22"/>
          <w:szCs w:val="22"/>
        </w:rPr>
      </w:pPr>
    </w:p>
    <w:p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201</w:t>
      </w:r>
      <w:r w:rsidR="003D013D">
        <w:rPr>
          <w:rFonts w:ascii="Arial Narrow" w:hAnsi="Arial Narrow" w:cs="Arial"/>
          <w:sz w:val="22"/>
          <w:szCs w:val="22"/>
          <w:highlight w:val="yellow"/>
        </w:rPr>
        <w:t>7</w:t>
      </w:r>
      <w:bookmarkStart w:id="0" w:name="Text_Field_29"/>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66339A">
        <w:rPr>
          <w:rFonts w:ascii="Arial Narrow" w:hAnsi="Arial Narrow" w:cs="Arial"/>
          <w:sz w:val="22"/>
          <w:szCs w:val="22"/>
        </w:rPr>
      </w:r>
      <w:r w:rsidR="0066339A">
        <w:rPr>
          <w:rFonts w:ascii="Arial Narrow" w:hAnsi="Arial Narrow" w:cs="Arial"/>
          <w:sz w:val="22"/>
          <w:szCs w:val="22"/>
        </w:rPr>
        <w:fldChar w:fldCharType="separate"/>
      </w:r>
      <w:r w:rsidRPr="009D1BDC">
        <w:rPr>
          <w:rFonts w:ascii="Arial Narrow" w:hAnsi="Arial Narrow" w:cs="Arial"/>
          <w:sz w:val="22"/>
          <w:szCs w:val="22"/>
        </w:rPr>
        <w:fldChar w:fldCharType="end"/>
      </w:r>
      <w:bookmarkEnd w:id="0"/>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r w:rsidR="003B65B3" w:rsidRPr="001F4C86">
        <w:rPr>
          <w:rFonts w:ascii="Arial Narrow" w:hAnsi="Arial Narrow" w:cs="Arial"/>
          <w:sz w:val="22"/>
          <w:szCs w:val="22"/>
          <w:highlight w:val="yellow"/>
        </w:rPr>
        <w:t>XXX,XXX</w:t>
      </w:r>
      <w:bookmarkStart w:id="1" w:name="Text_Field_30"/>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66339A">
        <w:rPr>
          <w:rFonts w:ascii="Arial Narrow" w:hAnsi="Arial Narrow" w:cs="Arial"/>
          <w:sz w:val="22"/>
          <w:szCs w:val="22"/>
        </w:rPr>
      </w:r>
      <w:r w:rsidR="0066339A">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63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620"/>
        <w:gridCol w:w="1530"/>
      </w:tblGrid>
      <w:tr w:rsidR="006D6CC9" w:rsidRPr="009D1BDC" w:rsidTr="003B65B3">
        <w:trPr>
          <w:jc w:val="center"/>
        </w:trPr>
        <w:tc>
          <w:tcPr>
            <w:tcW w:w="3150" w:type="dxa"/>
          </w:tcPr>
          <w:p w:rsidR="006D6CC9" w:rsidRPr="009D1BDC" w:rsidRDefault="006D6CC9" w:rsidP="003E3D21">
            <w:pPr>
              <w:pStyle w:val="Default"/>
              <w:rPr>
                <w:rFonts w:ascii="Arial Narrow" w:hAnsi="Arial Narrow"/>
                <w:sz w:val="22"/>
                <w:szCs w:val="22"/>
              </w:rPr>
            </w:pPr>
          </w:p>
        </w:tc>
        <w:tc>
          <w:tcPr>
            <w:tcW w:w="1620" w:type="dxa"/>
          </w:tcPr>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Outflows of Resources</w:t>
            </w:r>
          </w:p>
        </w:tc>
        <w:tc>
          <w:tcPr>
            <w:tcW w:w="1530" w:type="dxa"/>
          </w:tcPr>
          <w:p w:rsidR="00505892" w:rsidRDefault="00505892" w:rsidP="003E3D21">
            <w:pPr>
              <w:pStyle w:val="Default"/>
              <w:jc w:val="center"/>
              <w:rPr>
                <w:rFonts w:ascii="Arial Narrow" w:hAnsi="Arial Narrow"/>
                <w:sz w:val="22"/>
                <w:szCs w:val="22"/>
              </w:rPr>
            </w:pPr>
          </w:p>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inflows of Resources</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 in experience</w:t>
            </w:r>
          </w:p>
        </w:tc>
        <w:tc>
          <w:tcPr>
            <w:tcW w:w="1620" w:type="dxa"/>
            <w:shd w:val="clear" w:color="auto" w:fill="FFFF00"/>
          </w:tcPr>
          <w:p w:rsidR="003F0B83" w:rsidRPr="009D1BDC" w:rsidRDefault="003F0B83" w:rsidP="003B65B3">
            <w:pPr>
              <w:pStyle w:val="Default"/>
              <w:jc w:val="right"/>
              <w:rPr>
                <w:rFonts w:ascii="Arial Narrow" w:hAnsi="Arial Narrow"/>
                <w:sz w:val="22"/>
                <w:szCs w:val="22"/>
              </w:rPr>
            </w:pPr>
            <w:r w:rsidRPr="009D1BDC">
              <w:rPr>
                <w:rFonts w:ascii="Arial Narrow" w:hAnsi="Arial Narrow"/>
                <w:sz w:val="22"/>
                <w:szCs w:val="22"/>
              </w:rPr>
              <w:t>$</w:t>
            </w:r>
            <w:r w:rsidR="003B65B3">
              <w:rPr>
                <w:rFonts w:ascii="Arial Narrow" w:hAnsi="Arial Narrow"/>
                <w:sz w:val="22"/>
                <w:szCs w:val="22"/>
              </w:rPr>
              <w:t xml:space="preserve">    X</w:t>
            </w:r>
            <w:r w:rsidR="00701ECB" w:rsidRPr="009D1BDC">
              <w:rPr>
                <w:rFonts w:ascii="Arial Narrow" w:hAnsi="Arial Narrow"/>
                <w:sz w:val="22"/>
                <w:szCs w:val="22"/>
              </w:rPr>
              <w:t xml:space="preserve">    </w:t>
            </w:r>
            <w:r w:rsidRPr="009D1BDC">
              <w:rPr>
                <w:rFonts w:ascii="Arial Narrow" w:hAnsi="Arial Narrow"/>
                <w:sz w:val="22"/>
                <w:szCs w:val="22"/>
              </w:rPr>
              <w:t xml:space="preserve"> </w:t>
            </w:r>
          </w:p>
        </w:tc>
        <w:tc>
          <w:tcPr>
            <w:tcW w:w="1530" w:type="dxa"/>
            <w:shd w:val="clear" w:color="auto" w:fill="FFFF00"/>
          </w:tcPr>
          <w:p w:rsidR="00701ECB" w:rsidRPr="003B65B3" w:rsidRDefault="003F0B83" w:rsidP="003B65B3">
            <w:pPr>
              <w:pStyle w:val="Default"/>
              <w:jc w:val="right"/>
              <w:rPr>
                <w:rFonts w:ascii="Arial Narrow" w:hAnsi="Arial Narrow"/>
                <w:sz w:val="22"/>
                <w:szCs w:val="22"/>
              </w:rPr>
            </w:pPr>
            <w:r w:rsidRPr="003B65B3">
              <w:rPr>
                <w:rFonts w:ascii="Arial Narrow" w:hAnsi="Arial Narrow"/>
                <w:sz w:val="22"/>
                <w:szCs w:val="22"/>
              </w:rPr>
              <w:t>$</w:t>
            </w:r>
            <w:r w:rsidR="00701ECB"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620" w:type="dxa"/>
            <w:shd w:val="clear" w:color="auto" w:fill="FFFF00"/>
          </w:tcPr>
          <w:p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53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Excess(deficit) Investment Returns</w:t>
            </w:r>
          </w:p>
        </w:tc>
        <w:tc>
          <w:tcPr>
            <w:tcW w:w="1620" w:type="dxa"/>
            <w:shd w:val="clear" w:color="auto" w:fill="FFFF00"/>
          </w:tcPr>
          <w:p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53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Total</w:t>
            </w:r>
          </w:p>
        </w:tc>
        <w:tc>
          <w:tcPr>
            <w:tcW w:w="1620" w:type="dxa"/>
            <w:shd w:val="clear" w:color="auto" w:fill="FFFF00"/>
          </w:tcPr>
          <w:p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530" w:type="dxa"/>
            <w:shd w:val="clear" w:color="auto" w:fill="FFFF00"/>
          </w:tcPr>
          <w:p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6D6CC9" w:rsidRPr="009D1BDC" w:rsidRDefault="006D6CC9" w:rsidP="00AB3B4B">
      <w:pPr>
        <w:pStyle w:val="Default"/>
        <w:jc w:val="both"/>
        <w:rPr>
          <w:rFonts w:ascii="Arial Narrow" w:hAnsi="Arial Narrow"/>
          <w:sz w:val="22"/>
          <w:szCs w:val="22"/>
        </w:rPr>
      </w:pPr>
    </w:p>
    <w:p w:rsidR="00F67EE7" w:rsidRPr="009D1BDC" w:rsidRDefault="00F67EE7" w:rsidP="00AB3B4B">
      <w:pPr>
        <w:pStyle w:val="CM24"/>
        <w:spacing w:after="157" w:line="240" w:lineRule="atLeast"/>
        <w:ind w:right="162"/>
        <w:jc w:val="both"/>
        <w:rPr>
          <w:rFonts w:ascii="Arial Narrow" w:hAnsi="Arial Narrow" w:cs="Arial"/>
          <w:sz w:val="22"/>
          <w:szCs w:val="22"/>
        </w:rPr>
      </w:pPr>
      <w:r w:rsidRPr="009D1BDC">
        <w:rPr>
          <w:rFonts w:ascii="Arial Narrow" w:hAnsi="Arial Narrow" w:cs="Arial"/>
          <w:sz w:val="22"/>
          <w:szCs w:val="22"/>
        </w:rPr>
        <w:t xml:space="preserve">Amounts reported as deferred outflows and inflows of resources related to pensions will be recognized in pension expense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rsidTr="00FE590E">
        <w:trPr>
          <w:trHeight w:val="276"/>
          <w:jc w:val="center"/>
        </w:trPr>
        <w:tc>
          <w:tcPr>
            <w:tcW w:w="1049" w:type="dxa"/>
            <w:tcBorders>
              <w:bottom w:val="single" w:sz="4" w:space="0" w:color="auto"/>
            </w:tcBorders>
            <w:noWrap/>
            <w:hideMark/>
          </w:tcPr>
          <w:p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rsidTr="00FE590E">
        <w:trPr>
          <w:trHeight w:val="144"/>
          <w:jc w:val="center"/>
        </w:trPr>
        <w:tc>
          <w:tcPr>
            <w:tcW w:w="1049" w:type="dxa"/>
            <w:tcBorders>
              <w:top w:val="single" w:sz="4" w:space="0" w:color="auto"/>
            </w:tcBorders>
            <w:noWrap/>
            <w:hideMark/>
          </w:tcPr>
          <w:p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201</w:t>
            </w:r>
            <w:r w:rsidR="003D013D">
              <w:rPr>
                <w:rFonts w:ascii="Arial Narrow" w:hAnsi="Arial Narrow" w:cs="Arial"/>
                <w:sz w:val="22"/>
                <w:szCs w:val="22"/>
              </w:rPr>
              <w:t>8</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201</w:t>
            </w:r>
            <w:r w:rsidR="003D013D">
              <w:rPr>
                <w:rFonts w:ascii="Arial Narrow" w:hAnsi="Arial Narrow" w:cs="Arial"/>
                <w:sz w:val="22"/>
                <w:szCs w:val="22"/>
              </w:rPr>
              <w:t>9</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3D013D">
              <w:rPr>
                <w:rFonts w:ascii="Arial Narrow" w:hAnsi="Arial Narrow" w:cs="Arial"/>
                <w:sz w:val="22"/>
                <w:szCs w:val="22"/>
              </w:rPr>
              <w:t>20</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w:t>
            </w:r>
            <w:r w:rsidR="003D013D">
              <w:rPr>
                <w:rFonts w:ascii="Arial Narrow" w:hAnsi="Arial Narrow" w:cs="Arial"/>
                <w:sz w:val="22"/>
                <w:szCs w:val="22"/>
              </w:rPr>
              <w:t>1</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3D013D">
              <w:rPr>
                <w:rFonts w:ascii="Arial Narrow" w:hAnsi="Arial Narrow" w:cs="Arial"/>
                <w:sz w:val="22"/>
                <w:szCs w:val="22"/>
              </w:rPr>
              <w:t>2</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   </w:t>
            </w:r>
          </w:p>
        </w:tc>
      </w:tr>
      <w:tr w:rsidR="00A81D66" w:rsidRPr="009D1BDC" w:rsidTr="00FE590E">
        <w:trPr>
          <w:trHeight w:val="144"/>
          <w:jc w:val="center"/>
        </w:trPr>
        <w:tc>
          <w:tcPr>
            <w:tcW w:w="1049" w:type="dxa"/>
            <w:noWrap/>
          </w:tcPr>
          <w:p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rsidTr="00FE590E">
        <w:trPr>
          <w:trHeight w:val="144"/>
          <w:jc w:val="center"/>
        </w:trPr>
        <w:tc>
          <w:tcPr>
            <w:tcW w:w="1049" w:type="dxa"/>
            <w:noWrap/>
            <w:hideMark/>
          </w:tcPr>
          <w:p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701ECB" w:rsidRDefault="00701ECB" w:rsidP="00AB3B4B">
      <w:pPr>
        <w:pStyle w:val="CM19"/>
        <w:spacing w:after="85"/>
        <w:jc w:val="both"/>
        <w:rPr>
          <w:rFonts w:ascii="Arial Narrow" w:hAnsi="Arial Narrow" w:cs="Arial"/>
          <w:sz w:val="22"/>
          <w:szCs w:val="22"/>
        </w:rPr>
      </w:pPr>
    </w:p>
    <w:p w:rsidR="00804336" w:rsidRPr="00505892" w:rsidRDefault="00804336" w:rsidP="00505892">
      <w:pPr>
        <w:pStyle w:val="Default"/>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when employees are covered by more than one plan</w:t>
      </w: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rsidR="00493D73" w:rsidRDefault="00493D73" w:rsidP="00493D73">
      <w:pPr>
        <w:pStyle w:val="Default"/>
      </w:pPr>
    </w:p>
    <w:p w:rsidR="00FE590E" w:rsidRDefault="00FE590E">
      <w:pPr>
        <w:rPr>
          <w:rFonts w:ascii="Frutiger Neue LT Pro CnMedium" w:hAnsi="Frutiger Neue LT Pro CnMedium" w:cs="Frutiger Neue LT Pro CnMedium"/>
          <w:color w:val="000000"/>
          <w:sz w:val="24"/>
          <w:szCs w:val="24"/>
        </w:rPr>
      </w:pPr>
      <w:r>
        <w:br w:type="page"/>
      </w:r>
    </w:p>
    <w:p w:rsidR="00493D73" w:rsidRDefault="00493D73" w:rsidP="00493D73">
      <w:pPr>
        <w:pStyle w:val="Default"/>
      </w:pPr>
    </w:p>
    <w:p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participating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(see below)</w:t>
      </w:r>
      <w:r w:rsidRPr="00F2067B">
        <w:rPr>
          <w:rFonts w:ascii="Arial Narrow" w:hAnsi="Arial Narrow"/>
        </w:rPr>
        <w:t xml:space="preserve"> </w:t>
      </w:r>
      <w:r w:rsidR="00107FED" w:rsidRPr="00F2067B">
        <w:rPr>
          <w:rFonts w:ascii="Arial Narrow" w:hAnsi="Arial Narrow"/>
        </w:rPr>
        <w:t xml:space="preserve"> of annual covered salary.  Employee contributions are immediately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ontributions required under the plan by both the employee and employer are established by the General Laws, which are subject to amendment by the General Assembly.</w:t>
      </w:r>
    </w:p>
    <w:p w:rsidR="00107FED"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rsidR="00107FED" w:rsidRDefault="00107FED" w:rsidP="00107FED">
      <w:pPr>
        <w:pStyle w:val="NoSpacing"/>
        <w:jc w:val="both"/>
        <w:rPr>
          <w:rFonts w:ascii="Arial Narrow" w:hAnsi="Arial Narrow"/>
        </w:rPr>
      </w:pPr>
    </w:p>
    <w:p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$XXX,XXX</w:t>
      </w:r>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201</w:t>
      </w:r>
      <w:r w:rsidR="003D013D">
        <w:rPr>
          <w:rFonts w:ascii="Arial Narrow" w:hAnsi="Arial Narrow"/>
        </w:rPr>
        <w:t>7</w:t>
      </w:r>
      <w:r w:rsidRPr="00F2067B">
        <w:rPr>
          <w:rFonts w:ascii="Arial Narrow" w:hAnsi="Arial Narrow"/>
        </w:rPr>
        <w:t>.</w:t>
      </w:r>
    </w:p>
    <w:p w:rsidR="00107FED" w:rsidRPr="00F2067B"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required supplementary information for plans administered by the system.  </w:t>
      </w:r>
      <w:r w:rsidRPr="00F2067B">
        <w:rPr>
          <w:rFonts w:ascii="Arial Narrow" w:eastAsia="Times New Roman" w:hAnsi="Arial Narrow" w:cs="Arial"/>
        </w:rPr>
        <w:t xml:space="preserve">The report may be obtained at </w:t>
      </w:r>
      <w:hyperlink r:id="rId10"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rsidR="00493D73" w:rsidRDefault="00493D73" w:rsidP="00493D73">
      <w:pPr>
        <w:pStyle w:val="Default"/>
      </w:pPr>
    </w:p>
    <w:p w:rsidR="008B2650" w:rsidRDefault="008B2650" w:rsidP="00493D73">
      <w:pPr>
        <w:pStyle w:val="Default"/>
      </w:pPr>
    </w:p>
    <w:p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To facilitate one Defined Contribution Note that may address multiple classes of employees - See contribution rates for various employee categories:</w:t>
      </w:r>
    </w:p>
    <w:tbl>
      <w:tblPr>
        <w:tblStyle w:val="TableGrid"/>
        <w:tblW w:w="0" w:type="auto"/>
        <w:shd w:val="clear" w:color="auto" w:fill="FBD4B4" w:themeFill="accent6" w:themeFillTint="66"/>
        <w:tblLook w:val="04A0" w:firstRow="1" w:lastRow="0" w:firstColumn="1" w:lastColumn="0" w:noHBand="0" w:noVBand="1"/>
      </w:tblPr>
      <w:tblGrid>
        <w:gridCol w:w="288"/>
        <w:gridCol w:w="6839"/>
        <w:gridCol w:w="1203"/>
        <w:gridCol w:w="1246"/>
      </w:tblGrid>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general ee’s that do not participate in Social Security – have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 more than 20 years of service on July 1, 2012</w:t>
            </w:r>
          </w:p>
        </w:tc>
        <w:tc>
          <w:tcPr>
            <w:tcW w:w="2449" w:type="dxa"/>
            <w:gridSpan w:val="2"/>
            <w:shd w:val="clear" w:color="auto" w:fill="FBD4B4" w:themeFill="accent6" w:themeFillTint="66"/>
          </w:tcPr>
          <w:p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bl>
    <w:p w:rsidR="008B2650" w:rsidRDefault="008B2650" w:rsidP="00D81C13">
      <w:pPr>
        <w:pStyle w:val="Default"/>
      </w:pPr>
    </w:p>
    <w:p w:rsidR="00107FED" w:rsidRDefault="00107FED" w:rsidP="00493D73">
      <w:pPr>
        <w:pStyle w:val="Default"/>
      </w:pPr>
      <w:bookmarkStart w:id="2" w:name="_GoBack"/>
      <w:bookmarkEnd w:id="2"/>
    </w:p>
    <w:sectPr w:rsidR="00107FED" w:rsidSect="008B2650">
      <w:footerReference w:type="default" r:id="rId11"/>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9A" w:rsidRDefault="0066339A" w:rsidP="001B57B0">
      <w:pPr>
        <w:spacing w:after="0" w:line="240" w:lineRule="auto"/>
      </w:pPr>
      <w:r>
        <w:separator/>
      </w:r>
    </w:p>
  </w:endnote>
  <w:endnote w:type="continuationSeparator" w:id="0">
    <w:p w:rsidR="0066339A" w:rsidRDefault="0066339A"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Neue LT Pro C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EB" w:rsidRDefault="00BB07EB">
    <w:pPr>
      <w:pStyle w:val="Footer"/>
      <w:rPr>
        <w:rFonts w:ascii="Arial Narrow" w:hAnsi="Arial Narrow"/>
        <w:color w:val="808080" w:themeColor="background1" w:themeShade="80"/>
        <w:spacing w:val="60"/>
      </w:rPr>
    </w:pPr>
  </w:p>
  <w:p w:rsidR="001B57B0" w:rsidRPr="00AB3B4B" w:rsidRDefault="00AB3B4B">
    <w:pPr>
      <w:pStyle w:val="Footer"/>
      <w:rPr>
        <w:rFonts w:ascii="Arial Narrow" w:hAnsi="Arial Narrow"/>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2437E7" w:rsidRPr="002437E7">
      <w:rPr>
        <w:rFonts w:ascii="Arial Narrow" w:hAnsi="Arial Narrow"/>
        <w:b/>
        <w:bCs/>
        <w:noProof/>
      </w:rPr>
      <w:t>9</w:t>
    </w:r>
    <w:r w:rsidRPr="00AB3B4B">
      <w:rPr>
        <w:rFonts w:ascii="Arial Narrow" w:hAnsi="Arial Narrow"/>
        <w:b/>
        <w:bCs/>
        <w:noProof/>
      </w:rPr>
      <w:fldChar w:fldCharType="end"/>
    </w:r>
    <w:r w:rsidR="003D013D">
      <w:rPr>
        <w:rFonts w:ascii="Arial Narrow" w:hAnsi="Arial Narrow"/>
        <w:b/>
        <w:bCs/>
        <w:noProof/>
      </w:rPr>
      <w:t xml:space="preserve">   - </w:t>
    </w:r>
    <w:r w:rsidR="003D013D" w:rsidRPr="003D013D">
      <w:rPr>
        <w:rFonts w:ascii="Arial Narrow" w:hAnsi="Arial Narrow"/>
        <w:b/>
        <w:bCs/>
        <w:noProof/>
        <w:color w:val="FF0000"/>
      </w:rPr>
      <w:t>Updated for Fiscal 2017 employer financial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9A" w:rsidRDefault="0066339A" w:rsidP="001B57B0">
      <w:pPr>
        <w:spacing w:after="0" w:line="240" w:lineRule="auto"/>
      </w:pPr>
      <w:r>
        <w:separator/>
      </w:r>
    </w:p>
  </w:footnote>
  <w:footnote w:type="continuationSeparator" w:id="0">
    <w:p w:rsidR="0066339A" w:rsidRDefault="0066339A" w:rsidP="001B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91"/>
    <w:rsid w:val="00091F2E"/>
    <w:rsid w:val="000C74CC"/>
    <w:rsid w:val="00107FED"/>
    <w:rsid w:val="001112FA"/>
    <w:rsid w:val="00122AC9"/>
    <w:rsid w:val="00123C26"/>
    <w:rsid w:val="00133258"/>
    <w:rsid w:val="001449AE"/>
    <w:rsid w:val="001850E6"/>
    <w:rsid w:val="001A3AA1"/>
    <w:rsid w:val="001B57B0"/>
    <w:rsid w:val="001D603D"/>
    <w:rsid w:val="001E26D1"/>
    <w:rsid w:val="001F4C86"/>
    <w:rsid w:val="0022196E"/>
    <w:rsid w:val="00242B91"/>
    <w:rsid w:val="002437E7"/>
    <w:rsid w:val="0028189D"/>
    <w:rsid w:val="00303078"/>
    <w:rsid w:val="00310995"/>
    <w:rsid w:val="00335527"/>
    <w:rsid w:val="00352BEA"/>
    <w:rsid w:val="00367EEC"/>
    <w:rsid w:val="00376A4F"/>
    <w:rsid w:val="003B65B3"/>
    <w:rsid w:val="003D013D"/>
    <w:rsid w:val="003E3D21"/>
    <w:rsid w:val="003F0B83"/>
    <w:rsid w:val="00400433"/>
    <w:rsid w:val="00421618"/>
    <w:rsid w:val="00431067"/>
    <w:rsid w:val="0044063E"/>
    <w:rsid w:val="00472B76"/>
    <w:rsid w:val="00477989"/>
    <w:rsid w:val="00493D73"/>
    <w:rsid w:val="004A704F"/>
    <w:rsid w:val="004B33D4"/>
    <w:rsid w:val="004C5B27"/>
    <w:rsid w:val="00505892"/>
    <w:rsid w:val="00534354"/>
    <w:rsid w:val="005372CE"/>
    <w:rsid w:val="00545F0A"/>
    <w:rsid w:val="0058430E"/>
    <w:rsid w:val="00585C44"/>
    <w:rsid w:val="00645925"/>
    <w:rsid w:val="00653F22"/>
    <w:rsid w:val="0066339A"/>
    <w:rsid w:val="006920F8"/>
    <w:rsid w:val="006A1034"/>
    <w:rsid w:val="006A5105"/>
    <w:rsid w:val="006C7C83"/>
    <w:rsid w:val="006D6CC9"/>
    <w:rsid w:val="006E4924"/>
    <w:rsid w:val="00701ECB"/>
    <w:rsid w:val="0071302A"/>
    <w:rsid w:val="00715259"/>
    <w:rsid w:val="0076337E"/>
    <w:rsid w:val="007A0EC1"/>
    <w:rsid w:val="007B2952"/>
    <w:rsid w:val="00803299"/>
    <w:rsid w:val="00804336"/>
    <w:rsid w:val="00845A9F"/>
    <w:rsid w:val="00856764"/>
    <w:rsid w:val="00864781"/>
    <w:rsid w:val="00880ECA"/>
    <w:rsid w:val="008A3C8B"/>
    <w:rsid w:val="008B2650"/>
    <w:rsid w:val="00906EAA"/>
    <w:rsid w:val="00974764"/>
    <w:rsid w:val="009A2EA4"/>
    <w:rsid w:val="009D1BDC"/>
    <w:rsid w:val="00A81D66"/>
    <w:rsid w:val="00AA5039"/>
    <w:rsid w:val="00AB3B4B"/>
    <w:rsid w:val="00AB668F"/>
    <w:rsid w:val="00AD3D8D"/>
    <w:rsid w:val="00AD3E8C"/>
    <w:rsid w:val="00AE2748"/>
    <w:rsid w:val="00B04E67"/>
    <w:rsid w:val="00B204A4"/>
    <w:rsid w:val="00B2494E"/>
    <w:rsid w:val="00BB07EB"/>
    <w:rsid w:val="00BF59CF"/>
    <w:rsid w:val="00C129C8"/>
    <w:rsid w:val="00C16808"/>
    <w:rsid w:val="00C208A7"/>
    <w:rsid w:val="00C9692B"/>
    <w:rsid w:val="00CE10E5"/>
    <w:rsid w:val="00CE1271"/>
    <w:rsid w:val="00D12C6E"/>
    <w:rsid w:val="00D31E88"/>
    <w:rsid w:val="00D73F49"/>
    <w:rsid w:val="00D81C13"/>
    <w:rsid w:val="00DB223B"/>
    <w:rsid w:val="00DC352E"/>
    <w:rsid w:val="00DC5023"/>
    <w:rsid w:val="00DD5CE7"/>
    <w:rsid w:val="00E02E49"/>
    <w:rsid w:val="00E040D3"/>
    <w:rsid w:val="00E10B18"/>
    <w:rsid w:val="00E33EBF"/>
    <w:rsid w:val="00EB6ACF"/>
    <w:rsid w:val="00F15429"/>
    <w:rsid w:val="00F41221"/>
    <w:rsid w:val="00F4523D"/>
    <w:rsid w:val="00F554BD"/>
    <w:rsid w:val="00F67EE7"/>
    <w:rsid w:val="00F73EF3"/>
    <w:rsid w:val="00F904E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7B20C"/>
  <w14:defaultImageDpi w14:val="0"/>
  <w15:docId w15:val="{8F9C5110-7C0F-4791-A1A5-8ADEAEF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sri.org"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B980-5573-4ED2-81EA-56246BB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Dennis Hoyle</cp:lastModifiedBy>
  <cp:revision>42</cp:revision>
  <cp:lastPrinted>2015-11-03T23:11:00Z</cp:lastPrinted>
  <dcterms:created xsi:type="dcterms:W3CDTF">2015-06-19T17:44:00Z</dcterms:created>
  <dcterms:modified xsi:type="dcterms:W3CDTF">2017-09-26T23:43:00Z</dcterms:modified>
</cp:coreProperties>
</file>